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leftChars="0"/>
        <w:jc w:val="left"/>
        <w:rPr>
          <w:rFonts w:hint="eastAsia"/>
          <w:b/>
          <w:bCs/>
          <w:sz w:val="32"/>
          <w:szCs w:val="32"/>
          <w:lang w:val="en-US" w:eastAsia="zh-CN"/>
        </w:rPr>
      </w:pPr>
      <w:r>
        <w:rPr>
          <w:rFonts w:hint="eastAsia"/>
          <w:b/>
          <w:bCs/>
          <w:sz w:val="32"/>
          <w:szCs w:val="32"/>
          <w:lang w:val="en-US" w:eastAsia="zh-CN"/>
        </w:rPr>
        <w:t>单细胞免疫组库分析——</w:t>
      </w:r>
      <w:bookmarkStart w:id="0" w:name="_GoBack"/>
      <w:bookmarkEnd w:id="0"/>
      <w:r>
        <w:rPr>
          <w:rFonts w:hint="eastAsia"/>
          <w:b/>
          <w:bCs/>
          <w:sz w:val="32"/>
          <w:szCs w:val="32"/>
          <w:lang w:val="en-US" w:eastAsia="zh-CN"/>
        </w:rPr>
        <w:t>实例展示（Scirpy）</w:t>
      </w:r>
    </w:p>
    <w:p>
      <w:pPr>
        <w:numPr>
          <w:ilvl w:val="0"/>
          <w:numId w:val="0"/>
        </w:numPr>
        <w:ind w:leftChars="0"/>
        <w:jc w:val="left"/>
        <w:rPr>
          <w:rFonts w:hint="default"/>
          <w:sz w:val="22"/>
          <w:szCs w:val="22"/>
          <w:lang w:val="en-US"/>
        </w:rPr>
      </w:pPr>
      <w:r>
        <w:rPr>
          <w:rFonts w:hint="eastAsia"/>
          <w:b w:val="0"/>
          <w:bCs w:val="0"/>
          <w:sz w:val="22"/>
          <w:szCs w:val="22"/>
          <w:lang w:val="en-US" w:eastAsia="zh-CN"/>
        </w:rPr>
        <w:t>在第六章第一节单细胞免疫组库分析中，我们介绍了一款基于Python语言开发的软件工具---Scirpy，并提到了这款软件可以和单细胞转录组数据分析软件Scanpy很好的结合，使得我们可以轻松实现TCR和转录组数据的多项联合分析。这里，我们将使用Scirpy软件内部自带的一套实例数据演示Scirpy软件中能够实现的各项分析内容</w:t>
      </w:r>
      <w:r>
        <w:rPr>
          <w:sz w:val="22"/>
          <w:szCs w:val="22"/>
        </w:rPr>
        <w:commentReference w:id="0"/>
      </w:r>
      <w:r>
        <w:rPr>
          <w:rFonts w:hint="eastAsia"/>
          <w:sz w:val="22"/>
          <w:szCs w:val="22"/>
          <w:lang w:val="en-US" w:eastAsia="zh-CN"/>
        </w:rPr>
        <w:t xml:space="preserve"> </w:t>
      </w:r>
      <w:r>
        <w:rPr>
          <w:rFonts w:hint="eastAsia"/>
          <w:b w:val="0"/>
          <w:bCs w:val="0"/>
          <w:sz w:val="22"/>
          <w:szCs w:val="22"/>
          <w:lang w:val="en-US" w:eastAsia="zh-CN"/>
        </w:rPr>
        <w:t>(Scirpy Tutorial)。这例数据来自一篇名为《Peripheral T cell expansion predicts tumour infiltration and clinical response》，并于2020年发表在《Nature》上的文章</w:t>
      </w:r>
      <w:r>
        <w:rPr>
          <w:sz w:val="22"/>
          <w:szCs w:val="22"/>
        </w:rPr>
        <w:commentReference w:id="1"/>
      </w:r>
      <w:r>
        <w:rPr>
          <w:rFonts w:hint="eastAsia"/>
          <w:b w:val="0"/>
          <w:bCs w:val="0"/>
          <w:sz w:val="22"/>
          <w:szCs w:val="22"/>
          <w:lang w:val="en-US" w:eastAsia="zh-CN"/>
        </w:rPr>
        <w:t>(Wu et al., Nature, 2020)。这项研究的数据中包含了&gt;14万的T细胞，但在Scirpy提供的展示数据中，为了计算效率，我们只包含了3000个细胞。下图中是所有我们分析中需要使用到的python工具以及他们的版本。</w:t>
      </w:r>
    </w:p>
    <w:p>
      <w:pPr>
        <w:numPr>
          <w:ilvl w:val="0"/>
          <w:numId w:val="0"/>
        </w:numPr>
        <w:ind w:leftChars="0"/>
        <w:jc w:val="left"/>
        <w:rPr>
          <w:sz w:val="22"/>
          <w:szCs w:val="22"/>
        </w:rPr>
      </w:pPr>
      <w:r>
        <w:rPr>
          <w:sz w:val="22"/>
          <w:szCs w:val="22"/>
        </w:rPr>
        <w:drawing>
          <wp:inline distT="0" distB="0" distL="114300" distR="114300">
            <wp:extent cx="5268595" cy="1910080"/>
            <wp:effectExtent l="0" t="0" r="1460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268595" cy="1910080"/>
                    </a:xfrm>
                    <a:prstGeom prst="rect">
                      <a:avLst/>
                    </a:prstGeom>
                    <a:noFill/>
                    <a:ln>
                      <a:noFill/>
                    </a:ln>
                  </pic:spPr>
                </pic:pic>
              </a:graphicData>
            </a:graphic>
          </wp:inline>
        </w:drawing>
      </w:r>
    </w:p>
    <w:p>
      <w:pPr>
        <w:numPr>
          <w:ilvl w:val="0"/>
          <w:numId w:val="0"/>
        </w:numPr>
        <w:ind w:leftChars="0"/>
        <w:jc w:val="left"/>
        <w:rPr>
          <w:rFonts w:hint="eastAsia"/>
          <w:sz w:val="22"/>
          <w:szCs w:val="22"/>
          <w:lang w:val="en-US" w:eastAsia="zh-CN"/>
        </w:rPr>
      </w:pPr>
    </w:p>
    <w:p>
      <w:pPr>
        <w:numPr>
          <w:ilvl w:val="0"/>
          <w:numId w:val="0"/>
        </w:numPr>
        <w:ind w:leftChars="0"/>
        <w:jc w:val="left"/>
        <w:rPr>
          <w:rFonts w:hint="eastAsia"/>
          <w:b/>
          <w:bCs/>
          <w:sz w:val="24"/>
          <w:szCs w:val="24"/>
          <w:lang w:val="en-US" w:eastAsia="zh-CN"/>
        </w:rPr>
      </w:pPr>
      <w:r>
        <w:rPr>
          <w:rFonts w:hint="eastAsia"/>
          <w:b/>
          <w:bCs/>
          <w:sz w:val="24"/>
          <w:szCs w:val="24"/>
          <w:lang w:val="en-US" w:eastAsia="zh-CN"/>
        </w:rPr>
        <w:t>数据载入以及预处理</w:t>
      </w:r>
    </w:p>
    <w:p>
      <w:pPr>
        <w:numPr>
          <w:ilvl w:val="0"/>
          <w:numId w:val="0"/>
        </w:numPr>
        <w:ind w:leftChars="0"/>
        <w:jc w:val="left"/>
        <w:rPr>
          <w:rFonts w:hint="default"/>
          <w:b w:val="0"/>
          <w:bCs w:val="0"/>
          <w:sz w:val="22"/>
          <w:szCs w:val="22"/>
          <w:lang w:val="en-US" w:eastAsia="zh-CN"/>
        </w:rPr>
      </w:pPr>
      <w:r>
        <w:rPr>
          <w:rFonts w:hint="eastAsia"/>
          <w:b w:val="0"/>
          <w:bCs w:val="0"/>
          <w:sz w:val="22"/>
          <w:szCs w:val="22"/>
          <w:lang w:val="en-US" w:eastAsia="zh-CN"/>
        </w:rPr>
        <w:t>这里，因为来自Wu et al. 的数据已被包含在Scirpy软件包内，我们只需要通过datasets模块录入即可。</w:t>
      </w:r>
    </w:p>
    <w:p>
      <w:pPr>
        <w:numPr>
          <w:ilvl w:val="0"/>
          <w:numId w:val="0"/>
        </w:numPr>
        <w:ind w:leftChars="0"/>
        <w:jc w:val="left"/>
        <w:rPr>
          <w:sz w:val="22"/>
          <w:szCs w:val="22"/>
        </w:rPr>
      </w:pPr>
      <w:r>
        <w:rPr>
          <w:sz w:val="22"/>
          <w:szCs w:val="22"/>
        </w:rPr>
        <w:drawing>
          <wp:inline distT="0" distB="0" distL="114300" distR="114300">
            <wp:extent cx="5273675" cy="2085340"/>
            <wp:effectExtent l="0" t="0" r="952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273675" cy="2085340"/>
                    </a:xfrm>
                    <a:prstGeom prst="rect">
                      <a:avLst/>
                    </a:prstGeom>
                    <a:noFill/>
                    <a:ln>
                      <a:noFill/>
                    </a:ln>
                  </pic:spPr>
                </pic:pic>
              </a:graphicData>
            </a:graphic>
          </wp:inline>
        </w:drawing>
      </w: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此前我们已经提过，Scirpy软件和Scanpy能够很好的结合，因此对于数据的预处理，例如：质控过滤基因和细胞，归一化，标准化，降维聚类等等，我们可以使用常规的Scanpy流程。</w:t>
      </w:r>
    </w:p>
    <w:p>
      <w:pPr>
        <w:numPr>
          <w:ilvl w:val="0"/>
          <w:numId w:val="0"/>
        </w:numPr>
        <w:ind w:leftChars="0"/>
        <w:jc w:val="left"/>
        <w:rPr>
          <w:sz w:val="22"/>
          <w:szCs w:val="22"/>
        </w:rPr>
      </w:pPr>
      <w:r>
        <w:rPr>
          <w:sz w:val="22"/>
          <w:szCs w:val="22"/>
        </w:rPr>
        <w:drawing>
          <wp:inline distT="0" distB="0" distL="114300" distR="114300">
            <wp:extent cx="5271135" cy="2635885"/>
            <wp:effectExtent l="0" t="0" r="1206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271135" cy="263588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5269865" cy="1327150"/>
            <wp:effectExtent l="0" t="0" r="1333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5269865" cy="1327150"/>
                    </a:xfrm>
                    <a:prstGeom prst="rect">
                      <a:avLst/>
                    </a:prstGeom>
                    <a:noFill/>
                    <a:ln>
                      <a:noFill/>
                    </a:ln>
                  </pic:spPr>
                </pic:pic>
              </a:graphicData>
            </a:graphic>
          </wp:inline>
        </w:drawing>
      </w:r>
    </w:p>
    <w:p>
      <w:pPr>
        <w:numPr>
          <w:ilvl w:val="0"/>
          <w:numId w:val="0"/>
        </w:numPr>
        <w:ind w:leftChars="0"/>
        <w:jc w:val="left"/>
        <w:rPr>
          <w:rFonts w:hint="eastAsia"/>
          <w:sz w:val="22"/>
          <w:szCs w:val="22"/>
          <w:lang w:val="en-US" w:eastAsia="zh-CN"/>
        </w:rPr>
      </w:pP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简单的数据与处理过后，我们可以将样本，病人编号等信息通过UMAP图可视化用于辨别数据中是否有批次效应存在。同样，我们也可以将一些已知细胞类型的经典标记基因表达展示在UMAP图中，例如这边展示的CD8A（CD8+ T细胞）和CD4，CD3D/E/G（CD4+ T细胞）。</w:t>
      </w:r>
    </w:p>
    <w:p>
      <w:pPr>
        <w:numPr>
          <w:ilvl w:val="0"/>
          <w:numId w:val="0"/>
        </w:numPr>
        <w:ind w:leftChars="0"/>
        <w:jc w:val="left"/>
        <w:rPr>
          <w:sz w:val="22"/>
          <w:szCs w:val="22"/>
        </w:rPr>
      </w:pPr>
      <w:r>
        <w:rPr>
          <w:sz w:val="22"/>
          <w:szCs w:val="22"/>
        </w:rPr>
        <w:drawing>
          <wp:inline distT="0" distB="0" distL="114300" distR="114300">
            <wp:extent cx="5270500" cy="1343025"/>
            <wp:effectExtent l="0" t="0" r="1270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tretch>
                      <a:fillRect/>
                    </a:stretch>
                  </pic:blipFill>
                  <pic:spPr>
                    <a:xfrm>
                      <a:off x="0" y="0"/>
                      <a:ext cx="5270500" cy="134302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5271135" cy="3464560"/>
            <wp:effectExtent l="0" t="0" r="1206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5271135" cy="3464560"/>
                    </a:xfrm>
                    <a:prstGeom prst="rect">
                      <a:avLst/>
                    </a:prstGeom>
                    <a:noFill/>
                    <a:ln>
                      <a:noFill/>
                    </a:ln>
                  </pic:spPr>
                </pic:pic>
              </a:graphicData>
            </a:graphic>
          </wp:inline>
        </w:drawing>
      </w:r>
    </w:p>
    <w:p>
      <w:pPr>
        <w:numPr>
          <w:ilvl w:val="0"/>
          <w:numId w:val="0"/>
        </w:numPr>
        <w:ind w:leftChars="0"/>
        <w:jc w:val="left"/>
        <w:rPr>
          <w:rFonts w:hint="default"/>
          <w:sz w:val="22"/>
          <w:szCs w:val="22"/>
          <w:lang w:val="en-US" w:eastAsia="zh-CN"/>
        </w:rPr>
      </w:pPr>
    </w:p>
    <w:p>
      <w:pPr>
        <w:numPr>
          <w:ilvl w:val="0"/>
          <w:numId w:val="0"/>
        </w:numPr>
        <w:ind w:leftChars="0"/>
        <w:jc w:val="left"/>
        <w:rPr>
          <w:rFonts w:hint="eastAsia"/>
          <w:b/>
          <w:bCs/>
          <w:sz w:val="24"/>
          <w:szCs w:val="24"/>
          <w:lang w:val="en-US" w:eastAsia="zh-CN"/>
        </w:rPr>
      </w:pPr>
      <w:r>
        <w:rPr>
          <w:rFonts w:hint="eastAsia"/>
          <w:b/>
          <w:bCs/>
          <w:sz w:val="24"/>
          <w:szCs w:val="24"/>
          <w:lang w:val="en-US" w:eastAsia="zh-CN"/>
        </w:rPr>
        <w:t>TCR质控</w:t>
      </w:r>
    </w:p>
    <w:p>
      <w:pPr>
        <w:numPr>
          <w:ilvl w:val="0"/>
          <w:numId w:val="0"/>
        </w:numPr>
        <w:ind w:leftChars="0"/>
        <w:jc w:val="left"/>
        <w:rPr>
          <w:rFonts w:hint="default"/>
          <w:b w:val="0"/>
          <w:bCs w:val="0"/>
          <w:sz w:val="22"/>
          <w:szCs w:val="22"/>
          <w:lang w:val="en-US" w:eastAsia="zh-CN"/>
        </w:rPr>
      </w:pPr>
      <w:r>
        <w:rPr>
          <w:rFonts w:hint="eastAsia"/>
          <w:b w:val="0"/>
          <w:bCs w:val="0"/>
          <w:sz w:val="22"/>
          <w:szCs w:val="22"/>
          <w:lang w:val="en-US" w:eastAsia="zh-CN"/>
        </w:rPr>
        <w:t>通常，我们知道TCR只含有一对配对的alpha和beta链，但事实上有将近三分之一的TCR可能会存在双TCR（Dual TCR）,即来自不同等位基因的两对受体。一般我们会在下游分析中将其去除。</w:t>
      </w:r>
    </w:p>
    <w:p>
      <w:pPr>
        <w:numPr>
          <w:ilvl w:val="0"/>
          <w:numId w:val="0"/>
        </w:numPr>
        <w:ind w:leftChars="0"/>
        <w:jc w:val="left"/>
        <w:rPr>
          <w:sz w:val="22"/>
          <w:szCs w:val="22"/>
        </w:rPr>
      </w:pPr>
      <w:r>
        <w:rPr>
          <w:sz w:val="22"/>
          <w:szCs w:val="22"/>
        </w:rPr>
        <w:drawing>
          <wp:inline distT="0" distB="0" distL="114300" distR="114300">
            <wp:extent cx="5270500" cy="549910"/>
            <wp:effectExtent l="0" t="0" r="1270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tretch>
                      <a:fillRect/>
                    </a:stretch>
                  </pic:blipFill>
                  <pic:spPr>
                    <a:xfrm>
                      <a:off x="0" y="0"/>
                      <a:ext cx="5270500" cy="54991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2325370" cy="1467485"/>
            <wp:effectExtent l="0" t="0" r="1143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stretch>
                      <a:fillRect/>
                    </a:stretch>
                  </pic:blipFill>
                  <pic:spPr>
                    <a:xfrm>
                      <a:off x="0" y="0"/>
                      <a:ext cx="2325370" cy="1467485"/>
                    </a:xfrm>
                    <a:prstGeom prst="rect">
                      <a:avLst/>
                    </a:prstGeom>
                    <a:noFill/>
                    <a:ln>
                      <a:noFill/>
                    </a:ln>
                  </pic:spPr>
                </pic:pic>
              </a:graphicData>
            </a:graphic>
          </wp:inline>
        </w:drawing>
      </w:r>
      <w:r>
        <w:rPr>
          <w:sz w:val="22"/>
          <w:szCs w:val="22"/>
        </w:rPr>
        <w:drawing>
          <wp:inline distT="0" distB="0" distL="114300" distR="114300">
            <wp:extent cx="2235200" cy="1478915"/>
            <wp:effectExtent l="0" t="0" r="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tretch>
                      <a:fillRect/>
                    </a:stretch>
                  </pic:blipFill>
                  <pic:spPr>
                    <a:xfrm>
                      <a:off x="0" y="0"/>
                      <a:ext cx="2235200" cy="1478915"/>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这里，我们可以通过UMAP图将拥有多条链的T细胞可视化出来，并在后续的分析中去除这部分细胞。同时我们也可以将那些没有完整的一对链的T细胞也一起去除。</w:t>
      </w:r>
    </w:p>
    <w:p>
      <w:pPr>
        <w:numPr>
          <w:ilvl w:val="0"/>
          <w:numId w:val="0"/>
        </w:numPr>
        <w:ind w:leftChars="0"/>
        <w:jc w:val="left"/>
        <w:rPr>
          <w:sz w:val="22"/>
          <w:szCs w:val="22"/>
        </w:rPr>
      </w:pPr>
      <w:r>
        <w:rPr>
          <w:sz w:val="22"/>
          <w:szCs w:val="22"/>
        </w:rPr>
        <w:drawing>
          <wp:inline distT="0" distB="0" distL="114300" distR="114300">
            <wp:extent cx="5269230" cy="338455"/>
            <wp:effectExtent l="0" t="0" r="1397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tretch>
                      <a:fillRect/>
                    </a:stretch>
                  </pic:blipFill>
                  <pic:spPr>
                    <a:xfrm>
                      <a:off x="0" y="0"/>
                      <a:ext cx="5269230" cy="33845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3305175" cy="2514600"/>
            <wp:effectExtent l="0" t="0" r="222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tretch>
                      <a:fillRect/>
                    </a:stretch>
                  </pic:blipFill>
                  <pic:spPr>
                    <a:xfrm>
                      <a:off x="0" y="0"/>
                      <a:ext cx="3305175" cy="251460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5266690" cy="3803650"/>
            <wp:effectExtent l="0" t="0" r="165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a:stretch>
                      <a:fillRect/>
                    </a:stretch>
                  </pic:blipFill>
                  <pic:spPr>
                    <a:xfrm>
                      <a:off x="0" y="0"/>
                      <a:ext cx="5266690" cy="3803650"/>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eastAsia"/>
          <w:b/>
          <w:bCs/>
          <w:sz w:val="24"/>
          <w:szCs w:val="24"/>
          <w:lang w:val="en-US" w:eastAsia="zh-CN"/>
        </w:rPr>
      </w:pPr>
      <w:r>
        <w:rPr>
          <w:rFonts w:hint="eastAsia"/>
          <w:b/>
          <w:bCs/>
          <w:sz w:val="24"/>
          <w:szCs w:val="24"/>
          <w:lang w:val="en-US" w:eastAsia="zh-CN"/>
        </w:rPr>
        <w:t>定义克隆型以及克隆型聚类</w:t>
      </w:r>
    </w:p>
    <w:p>
      <w:pPr>
        <w:numPr>
          <w:ilvl w:val="0"/>
          <w:numId w:val="0"/>
        </w:numPr>
        <w:ind w:leftChars="0"/>
        <w:jc w:val="left"/>
        <w:rPr>
          <w:rFonts w:hint="eastAsia"/>
          <w:b w:val="0"/>
          <w:bCs w:val="0"/>
          <w:sz w:val="22"/>
          <w:szCs w:val="22"/>
          <w:lang w:val="en-US" w:eastAsia="zh-CN"/>
        </w:rPr>
      </w:pPr>
      <w:r>
        <w:rPr>
          <w:rFonts w:hint="eastAsia"/>
          <w:b w:val="0"/>
          <w:bCs w:val="0"/>
          <w:sz w:val="22"/>
          <w:szCs w:val="22"/>
          <w:lang w:val="en-US" w:eastAsia="zh-CN"/>
        </w:rPr>
        <w:t>Sc</w:t>
      </w:r>
      <w:r>
        <w:rPr>
          <w:rFonts w:hint="default"/>
          <w:b w:val="0"/>
          <w:bCs w:val="0"/>
          <w:sz w:val="22"/>
          <w:szCs w:val="22"/>
          <w:lang w:val="en-US" w:eastAsia="zh-CN"/>
        </w:rPr>
        <w:t>irpy</w:t>
      </w:r>
      <w:r>
        <w:rPr>
          <w:rFonts w:hint="eastAsia"/>
          <w:b w:val="0"/>
          <w:bCs w:val="0"/>
          <w:sz w:val="22"/>
          <w:szCs w:val="22"/>
          <w:lang w:val="en-US" w:eastAsia="zh-CN"/>
        </w:rPr>
        <w:t>中计算和定义克隆型使用到了一种基于网络（network-based）的算法。这种算法类似于处理单细胞转录组数据时，在聚类之前创建领域图（neighborhood graph）的过程。</w:t>
      </w:r>
    </w:p>
    <w:p>
      <w:pPr>
        <w:numPr>
          <w:ilvl w:val="0"/>
          <w:numId w:val="0"/>
        </w:numPr>
        <w:ind w:leftChars="0"/>
        <w:jc w:val="left"/>
        <w:rPr>
          <w:rFonts w:hint="default"/>
          <w:b w:val="0"/>
          <w:bCs w:val="0"/>
          <w:sz w:val="22"/>
          <w:szCs w:val="22"/>
          <w:lang w:val="en-US" w:eastAsia="zh-CN"/>
        </w:rPr>
      </w:pPr>
      <w:r>
        <w:rPr>
          <w:rFonts w:hint="eastAsia"/>
          <w:b w:val="0"/>
          <w:bCs w:val="0"/>
          <w:sz w:val="22"/>
          <w:szCs w:val="22"/>
          <w:lang w:val="en-US" w:eastAsia="zh-CN"/>
        </w:rPr>
        <w:t>这里，我们使用到的ir.pp.ir_dist函数实际上是在计算CDR3序列之间的距离。这里的序列可以是RNA对应碱基序列（nt），也可以是蛋白质对于的氨基酸序列（aa），可以通过改变sequence参数进行选择。我们在下图中看到的是用默认参数，也就是基于碱基序列计算得到的结果。</w:t>
      </w:r>
    </w:p>
    <w:p>
      <w:pPr>
        <w:numPr>
          <w:ilvl w:val="0"/>
          <w:numId w:val="0"/>
        </w:numPr>
        <w:ind w:leftChars="0"/>
        <w:jc w:val="left"/>
        <w:rPr>
          <w:sz w:val="22"/>
          <w:szCs w:val="22"/>
        </w:rPr>
      </w:pPr>
      <w:r>
        <w:rPr>
          <w:sz w:val="22"/>
          <w:szCs w:val="22"/>
        </w:rPr>
        <w:drawing>
          <wp:inline distT="0" distB="0" distL="114300" distR="114300">
            <wp:extent cx="5270500" cy="763270"/>
            <wp:effectExtent l="0" t="0" r="1270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5270500" cy="763270"/>
                    </a:xfrm>
                    <a:prstGeom prst="rect">
                      <a:avLst/>
                    </a:prstGeom>
                    <a:noFill/>
                    <a:ln>
                      <a:noFill/>
                    </a:ln>
                  </pic:spPr>
                </pic:pic>
              </a:graphicData>
            </a:graphic>
          </wp:inline>
        </w:drawing>
      </w:r>
    </w:p>
    <w:p>
      <w:pPr>
        <w:numPr>
          <w:ilvl w:val="0"/>
          <w:numId w:val="0"/>
        </w:numPr>
        <w:ind w:leftChars="0"/>
        <w:jc w:val="left"/>
        <w:rPr>
          <w:rFonts w:hint="eastAsia"/>
          <w:sz w:val="22"/>
          <w:szCs w:val="22"/>
          <w:lang w:val="en-US" w:eastAsia="zh-CN"/>
        </w:rPr>
      </w:pP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在可视化的时候，我们可以将每个克隆型内部包含的最小细胞数阈值设置成2 。这样，我们可以在可视化时避免看到单一细胞构成的克隆型。</w:t>
      </w:r>
    </w:p>
    <w:p>
      <w:pPr>
        <w:numPr>
          <w:ilvl w:val="0"/>
          <w:numId w:val="0"/>
        </w:numPr>
        <w:ind w:leftChars="0"/>
        <w:jc w:val="left"/>
        <w:rPr>
          <w:rFonts w:hint="eastAsia"/>
          <w:sz w:val="22"/>
          <w:szCs w:val="22"/>
          <w:lang w:val="en-US" w:eastAsia="zh-CN"/>
        </w:rPr>
      </w:pPr>
      <w:r>
        <w:rPr>
          <w:sz w:val="22"/>
          <w:szCs w:val="22"/>
        </w:rPr>
        <w:drawing>
          <wp:inline distT="0" distB="0" distL="114300" distR="114300">
            <wp:extent cx="5270500" cy="3016885"/>
            <wp:effectExtent l="0" t="0" r="1270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a:stretch>
                      <a:fillRect/>
                    </a:stretch>
                  </pic:blipFill>
                  <pic:spPr>
                    <a:xfrm>
                      <a:off x="0" y="0"/>
                      <a:ext cx="5270500" cy="3016885"/>
                    </a:xfrm>
                    <a:prstGeom prst="rect">
                      <a:avLst/>
                    </a:prstGeom>
                    <a:noFill/>
                    <a:ln>
                      <a:noFill/>
                    </a:ln>
                  </pic:spPr>
                </pic:pic>
              </a:graphicData>
            </a:graphic>
          </wp:inline>
        </w:drawing>
      </w:r>
    </w:p>
    <w:p>
      <w:pPr>
        <w:numPr>
          <w:ilvl w:val="0"/>
          <w:numId w:val="0"/>
        </w:numPr>
        <w:ind w:leftChars="0"/>
        <w:jc w:val="left"/>
        <w:rPr>
          <w:rFonts w:hint="eastAsia"/>
          <w:sz w:val="22"/>
          <w:szCs w:val="22"/>
          <w:lang w:val="en-US" w:eastAsia="zh-CN"/>
        </w:rPr>
      </w:pP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 xml:space="preserve">接下来，我们可以尝试将sequence参数改设成 </w:t>
      </w:r>
      <w:r>
        <w:rPr>
          <w:rFonts w:hint="default"/>
          <w:sz w:val="22"/>
          <w:szCs w:val="22"/>
          <w:lang w:val="en-US" w:eastAsia="zh-CN"/>
        </w:rPr>
        <w:t>“</w:t>
      </w:r>
      <w:r>
        <w:rPr>
          <w:rFonts w:hint="eastAsia"/>
          <w:sz w:val="22"/>
          <w:szCs w:val="22"/>
          <w:lang w:val="en-US" w:eastAsia="zh-CN"/>
        </w:rPr>
        <w:t>aa</w:t>
      </w:r>
      <w:r>
        <w:rPr>
          <w:rFonts w:hint="default"/>
          <w:sz w:val="22"/>
          <w:szCs w:val="22"/>
          <w:lang w:val="en-US" w:eastAsia="zh-CN"/>
        </w:rPr>
        <w:t>”</w:t>
      </w:r>
      <w:r>
        <w:rPr>
          <w:rFonts w:hint="eastAsia"/>
          <w:sz w:val="22"/>
          <w:szCs w:val="22"/>
          <w:lang w:val="en-US" w:eastAsia="zh-CN"/>
        </w:rPr>
        <w:t>使得我们可以计算氨基酸序列间的相似性。这里，我们需要同时将metric参数改成“alignment”，因为Scirpy中计算氨基酸序列的相似性会用到基于BLOSUM62矩阵的比对算法。这里的cutoff参数决定了在计算完相似性之后，分值小于多少的相邻克隆型会被连接在一起形成一个网络。</w:t>
      </w:r>
    </w:p>
    <w:p>
      <w:pPr>
        <w:numPr>
          <w:ilvl w:val="0"/>
          <w:numId w:val="0"/>
        </w:numPr>
        <w:ind w:leftChars="0"/>
        <w:jc w:val="left"/>
        <w:rPr>
          <w:sz w:val="22"/>
          <w:szCs w:val="22"/>
        </w:rPr>
      </w:pPr>
      <w:r>
        <w:rPr>
          <w:sz w:val="22"/>
          <w:szCs w:val="22"/>
        </w:rPr>
        <w:drawing>
          <wp:inline distT="0" distB="0" distL="114300" distR="114300">
            <wp:extent cx="5270500" cy="2543175"/>
            <wp:effectExtent l="0" t="0" r="1270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a:stretch>
                      <a:fillRect/>
                    </a:stretch>
                  </pic:blipFill>
                  <pic:spPr>
                    <a:xfrm>
                      <a:off x="0" y="0"/>
                      <a:ext cx="5270500" cy="254317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5266690" cy="3009900"/>
            <wp:effectExtent l="0" t="0" r="1651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3"/>
                    <a:stretch>
                      <a:fillRect/>
                    </a:stretch>
                  </pic:blipFill>
                  <pic:spPr>
                    <a:xfrm>
                      <a:off x="0" y="0"/>
                      <a:ext cx="5266690" cy="3009900"/>
                    </a:xfrm>
                    <a:prstGeom prst="rect">
                      <a:avLst/>
                    </a:prstGeom>
                    <a:noFill/>
                    <a:ln>
                      <a:noFill/>
                    </a:ln>
                  </pic:spPr>
                </pic:pic>
              </a:graphicData>
            </a:graphic>
          </wp:inline>
        </w:drawing>
      </w:r>
    </w:p>
    <w:p>
      <w:pPr>
        <w:numPr>
          <w:ilvl w:val="0"/>
          <w:numId w:val="0"/>
        </w:numPr>
        <w:ind w:leftChars="0"/>
        <w:jc w:val="left"/>
        <w:rPr>
          <w:rFonts w:hint="eastAsia"/>
          <w:sz w:val="22"/>
          <w:szCs w:val="22"/>
          <w:lang w:val="en-US" w:eastAsia="zh-CN"/>
        </w:rPr>
      </w:pPr>
    </w:p>
    <w:p>
      <w:pPr>
        <w:numPr>
          <w:ilvl w:val="0"/>
          <w:numId w:val="0"/>
        </w:numPr>
        <w:ind w:leftChars="0"/>
        <w:jc w:val="left"/>
        <w:rPr>
          <w:rFonts w:hint="default"/>
          <w:sz w:val="22"/>
          <w:szCs w:val="22"/>
          <w:lang w:val="en-US" w:eastAsia="zh-CN"/>
        </w:rPr>
      </w:pPr>
      <w:r>
        <w:rPr>
          <w:rFonts w:hint="eastAsia"/>
          <w:sz w:val="22"/>
          <w:szCs w:val="22"/>
          <w:lang w:val="en-US" w:eastAsia="zh-CN"/>
        </w:rPr>
        <w:t>这里，在定义克隆型的过程中我们还可以添加一个“same_v_gene”参数。当这个参数被设置为True时，会使得在定义克隆型时，被定义为同一克隆型的所有细胞都具有相同的V基因，既是相同的CDR1,2区域。在下图中我们可以看到，原本被归为280和765的两个克隆型，因为same_v_gene的设置，被分别重新拆分成两个新的克隆型280 （280，788）；765（765，1071）。</w:t>
      </w:r>
    </w:p>
    <w:p>
      <w:pPr>
        <w:numPr>
          <w:ilvl w:val="0"/>
          <w:numId w:val="0"/>
        </w:numPr>
        <w:ind w:leftChars="0"/>
        <w:jc w:val="left"/>
        <w:rPr>
          <w:sz w:val="22"/>
          <w:szCs w:val="22"/>
        </w:rPr>
      </w:pPr>
      <w:r>
        <w:rPr>
          <w:sz w:val="22"/>
          <w:szCs w:val="22"/>
        </w:rPr>
        <w:drawing>
          <wp:inline distT="0" distB="0" distL="114300" distR="114300">
            <wp:extent cx="5273675" cy="240919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4"/>
                    <a:stretch>
                      <a:fillRect/>
                    </a:stretch>
                  </pic:blipFill>
                  <pic:spPr>
                    <a:xfrm>
                      <a:off x="0" y="0"/>
                      <a:ext cx="5273675" cy="240919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5267960" cy="1736090"/>
            <wp:effectExtent l="0" t="0" r="1524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5"/>
                    <a:stretch>
                      <a:fillRect/>
                    </a:stretch>
                  </pic:blipFill>
                  <pic:spPr>
                    <a:xfrm>
                      <a:off x="0" y="0"/>
                      <a:ext cx="5267960" cy="1736090"/>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在定义完克隆型后，我们可以通过UMAP图可视化那些包含了两个及以上细胞的克隆型（Expanded Clonotypes）。</w:t>
      </w:r>
    </w:p>
    <w:p>
      <w:pPr>
        <w:numPr>
          <w:ilvl w:val="0"/>
          <w:numId w:val="0"/>
        </w:numPr>
        <w:ind w:leftChars="0"/>
        <w:jc w:val="left"/>
        <w:rPr>
          <w:sz w:val="22"/>
          <w:szCs w:val="22"/>
        </w:rPr>
      </w:pPr>
      <w:r>
        <w:rPr>
          <w:sz w:val="22"/>
          <w:szCs w:val="22"/>
        </w:rPr>
        <w:drawing>
          <wp:inline distT="0" distB="0" distL="114300" distR="114300">
            <wp:extent cx="5273040" cy="2428875"/>
            <wp:effectExtent l="0" t="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6"/>
                    <a:stretch>
                      <a:fillRect/>
                    </a:stretch>
                  </pic:blipFill>
                  <pic:spPr>
                    <a:xfrm>
                      <a:off x="0" y="0"/>
                      <a:ext cx="5273040" cy="2428875"/>
                    </a:xfrm>
                    <a:prstGeom prst="rect">
                      <a:avLst/>
                    </a:prstGeom>
                    <a:noFill/>
                    <a:ln>
                      <a:noFill/>
                    </a:ln>
                  </pic:spPr>
                </pic:pic>
              </a:graphicData>
            </a:graphic>
          </wp:inline>
        </w:drawing>
      </w: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同时，也可以通过柱状图展示每个不同细胞类型中，expanded clonotype的数量。</w:t>
      </w:r>
    </w:p>
    <w:p>
      <w:pPr>
        <w:numPr>
          <w:ilvl w:val="0"/>
          <w:numId w:val="0"/>
        </w:numPr>
        <w:ind w:leftChars="0"/>
        <w:jc w:val="left"/>
        <w:rPr>
          <w:sz w:val="22"/>
          <w:szCs w:val="22"/>
        </w:rPr>
      </w:pPr>
    </w:p>
    <w:p>
      <w:pPr>
        <w:numPr>
          <w:ilvl w:val="0"/>
          <w:numId w:val="0"/>
        </w:numPr>
        <w:ind w:leftChars="0"/>
        <w:jc w:val="left"/>
        <w:rPr>
          <w:sz w:val="22"/>
          <w:szCs w:val="22"/>
        </w:rPr>
      </w:pPr>
      <w:r>
        <w:rPr>
          <w:sz w:val="22"/>
          <w:szCs w:val="22"/>
        </w:rPr>
        <w:drawing>
          <wp:inline distT="0" distB="0" distL="114300" distR="114300">
            <wp:extent cx="5273040" cy="2020570"/>
            <wp:effectExtent l="0" t="0" r="1016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stretch>
                      <a:fillRect/>
                    </a:stretch>
                  </pic:blipFill>
                  <pic:spPr>
                    <a:xfrm>
                      <a:off x="0" y="0"/>
                      <a:ext cx="5273040" cy="2020570"/>
                    </a:xfrm>
                    <a:prstGeom prst="rect">
                      <a:avLst/>
                    </a:prstGeom>
                    <a:noFill/>
                    <a:ln>
                      <a:noFill/>
                    </a:ln>
                  </pic:spPr>
                </pic:pic>
              </a:graphicData>
            </a:graphic>
          </wp:inline>
        </w:drawing>
      </w: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反过来，我们也可以展示在不同克隆型当中，不同细胞类型的数量分布。</w:t>
      </w:r>
    </w:p>
    <w:p>
      <w:pPr>
        <w:numPr>
          <w:ilvl w:val="0"/>
          <w:numId w:val="0"/>
        </w:numPr>
        <w:ind w:leftChars="0"/>
        <w:jc w:val="left"/>
        <w:rPr>
          <w:sz w:val="22"/>
          <w:szCs w:val="22"/>
        </w:rPr>
      </w:pPr>
      <w:r>
        <w:rPr>
          <w:sz w:val="22"/>
          <w:szCs w:val="22"/>
        </w:rPr>
        <w:drawing>
          <wp:inline distT="0" distB="0" distL="114300" distR="114300">
            <wp:extent cx="5267960" cy="2138045"/>
            <wp:effectExtent l="0" t="0" r="1524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a:stretch>
                      <a:fillRect/>
                    </a:stretch>
                  </pic:blipFill>
                  <pic:spPr>
                    <a:xfrm>
                      <a:off x="0" y="0"/>
                      <a:ext cx="5267960" cy="2138045"/>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我们还可以展示不同克隆型中的各种样本类型的分布，比如说是否为癌症样本，或者病人的编号。这样，我们可以看出哪一些克隆型是不同样本之间共有的，而哪一些是只富集在某一位病人的样本中或是所有癌症病人中的。</w:t>
      </w:r>
    </w:p>
    <w:p>
      <w:pPr>
        <w:numPr>
          <w:ilvl w:val="0"/>
          <w:numId w:val="0"/>
        </w:numPr>
        <w:ind w:leftChars="0"/>
        <w:jc w:val="left"/>
        <w:rPr>
          <w:sz w:val="22"/>
          <w:szCs w:val="22"/>
        </w:rPr>
      </w:pPr>
      <w:r>
        <w:rPr>
          <w:sz w:val="22"/>
          <w:szCs w:val="22"/>
        </w:rPr>
        <w:drawing>
          <wp:inline distT="0" distB="0" distL="114300" distR="114300">
            <wp:extent cx="5270500" cy="993775"/>
            <wp:effectExtent l="0" t="0" r="1270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9"/>
                    <a:stretch>
                      <a:fillRect/>
                    </a:stretch>
                  </pic:blipFill>
                  <pic:spPr>
                    <a:xfrm>
                      <a:off x="0" y="0"/>
                      <a:ext cx="5270500" cy="99377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2186940" cy="1066800"/>
            <wp:effectExtent l="0" t="0" r="228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0"/>
                    <a:stretch>
                      <a:fillRect/>
                    </a:stretch>
                  </pic:blipFill>
                  <pic:spPr>
                    <a:xfrm>
                      <a:off x="0" y="0"/>
                      <a:ext cx="2186940" cy="1066800"/>
                    </a:xfrm>
                    <a:prstGeom prst="rect">
                      <a:avLst/>
                    </a:prstGeom>
                    <a:noFill/>
                    <a:ln>
                      <a:noFill/>
                    </a:ln>
                  </pic:spPr>
                </pic:pic>
              </a:graphicData>
            </a:graphic>
          </wp:inline>
        </w:drawing>
      </w:r>
      <w:r>
        <w:rPr>
          <w:sz w:val="22"/>
          <w:szCs w:val="22"/>
        </w:rPr>
        <w:drawing>
          <wp:inline distT="0" distB="0" distL="114300" distR="114300">
            <wp:extent cx="2226310" cy="1109980"/>
            <wp:effectExtent l="0" t="0" r="889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1"/>
                    <a:stretch>
                      <a:fillRect/>
                    </a:stretch>
                  </pic:blipFill>
                  <pic:spPr>
                    <a:xfrm>
                      <a:off x="0" y="0"/>
                      <a:ext cx="2226310" cy="1109980"/>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最后，我们还可以通过克隆型看出一些进化的规律。我们可以去看哪些克隆型虽然序列不同，但是却能够识别同一种抗原。我们认为这种进化类型是趋同的。</w:t>
      </w:r>
    </w:p>
    <w:p>
      <w:pPr>
        <w:numPr>
          <w:ilvl w:val="0"/>
          <w:numId w:val="0"/>
        </w:numPr>
        <w:ind w:leftChars="0"/>
        <w:jc w:val="left"/>
        <w:rPr>
          <w:sz w:val="22"/>
          <w:szCs w:val="22"/>
        </w:rPr>
      </w:pPr>
      <w:r>
        <w:rPr>
          <w:sz w:val="22"/>
          <w:szCs w:val="22"/>
        </w:rPr>
        <w:drawing>
          <wp:inline distT="0" distB="0" distL="114300" distR="114300">
            <wp:extent cx="5269230" cy="243205"/>
            <wp:effectExtent l="0" t="0" r="1397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2"/>
                    <a:stretch>
                      <a:fillRect/>
                    </a:stretch>
                  </pic:blipFill>
                  <pic:spPr>
                    <a:xfrm>
                      <a:off x="0" y="0"/>
                      <a:ext cx="5269230" cy="24320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3686175" cy="2466975"/>
            <wp:effectExtent l="0" t="0" r="2222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3"/>
                    <a:stretch>
                      <a:fillRect/>
                    </a:stretch>
                  </pic:blipFill>
                  <pic:spPr>
                    <a:xfrm>
                      <a:off x="0" y="0"/>
                      <a:ext cx="3686175" cy="2466975"/>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default" w:eastAsia="华文仿宋"/>
          <w:b w:val="0"/>
          <w:bCs w:val="0"/>
          <w:sz w:val="22"/>
          <w:szCs w:val="22"/>
          <w:lang w:val="en-US" w:eastAsia="zh-CN"/>
        </w:rPr>
      </w:pPr>
      <w:r>
        <w:rPr>
          <w:rFonts w:hint="eastAsia"/>
          <w:b/>
          <w:bCs/>
          <w:sz w:val="24"/>
          <w:szCs w:val="24"/>
          <w:lang w:val="en-US" w:eastAsia="zh-CN"/>
        </w:rPr>
        <w:t>基因的使用</w:t>
      </w:r>
    </w:p>
    <w:p>
      <w:pPr>
        <w:numPr>
          <w:ilvl w:val="0"/>
          <w:numId w:val="0"/>
        </w:numPr>
        <w:ind w:leftChars="0"/>
        <w:jc w:val="left"/>
        <w:rPr>
          <w:rFonts w:hint="eastAsia"/>
          <w:b w:val="0"/>
          <w:bCs w:val="0"/>
          <w:sz w:val="22"/>
          <w:szCs w:val="22"/>
          <w:lang w:val="en-US" w:eastAsia="zh-CN"/>
        </w:rPr>
      </w:pPr>
      <w:r>
        <w:rPr>
          <w:rFonts w:hint="eastAsia"/>
          <w:b w:val="0"/>
          <w:bCs w:val="0"/>
          <w:sz w:val="22"/>
          <w:szCs w:val="22"/>
          <w:lang w:val="en-US" w:eastAsia="zh-CN"/>
        </w:rPr>
        <w:t>探究完克隆型本身的一些信息，我们还可以从免疫组库中获取这些克隆型具体的VDJ基因使用情况。比如在下图中，我们可以可视化V基因和细胞类型的关联。</w:t>
      </w:r>
    </w:p>
    <w:p>
      <w:pPr>
        <w:numPr>
          <w:ilvl w:val="0"/>
          <w:numId w:val="0"/>
        </w:numPr>
        <w:ind w:leftChars="0"/>
        <w:jc w:val="left"/>
        <w:rPr>
          <w:sz w:val="22"/>
          <w:szCs w:val="22"/>
        </w:rPr>
      </w:pPr>
      <w:r>
        <w:rPr>
          <w:sz w:val="22"/>
          <w:szCs w:val="22"/>
        </w:rPr>
        <w:drawing>
          <wp:inline distT="0" distB="0" distL="114300" distR="114300">
            <wp:extent cx="5269230" cy="1703070"/>
            <wp:effectExtent l="0" t="0" r="1397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4"/>
                    <a:stretch>
                      <a:fillRect/>
                    </a:stretch>
                  </pic:blipFill>
                  <pic:spPr>
                    <a:xfrm>
                      <a:off x="0" y="0"/>
                      <a:ext cx="5269230" cy="170307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2430145" cy="1431290"/>
            <wp:effectExtent l="0" t="0" r="825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5"/>
                    <a:stretch>
                      <a:fillRect/>
                    </a:stretch>
                  </pic:blipFill>
                  <pic:spPr>
                    <a:xfrm>
                      <a:off x="0" y="0"/>
                      <a:ext cx="2430145" cy="1431290"/>
                    </a:xfrm>
                    <a:prstGeom prst="rect">
                      <a:avLst/>
                    </a:prstGeom>
                    <a:noFill/>
                    <a:ln>
                      <a:noFill/>
                    </a:ln>
                  </pic:spPr>
                </pic:pic>
              </a:graphicData>
            </a:graphic>
          </wp:inline>
        </w:drawing>
      </w:r>
      <w:r>
        <w:rPr>
          <w:sz w:val="22"/>
          <w:szCs w:val="22"/>
        </w:rPr>
        <w:drawing>
          <wp:inline distT="0" distB="0" distL="114300" distR="114300">
            <wp:extent cx="2357755" cy="1464310"/>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6"/>
                    <a:stretch>
                      <a:fillRect/>
                    </a:stretch>
                  </pic:blipFill>
                  <pic:spPr>
                    <a:xfrm>
                      <a:off x="0" y="0"/>
                      <a:ext cx="2357755" cy="1464310"/>
                    </a:xfrm>
                    <a:prstGeom prst="rect">
                      <a:avLst/>
                    </a:prstGeom>
                    <a:noFill/>
                    <a:ln>
                      <a:noFill/>
                    </a:ln>
                  </pic:spPr>
                </pic:pic>
              </a:graphicData>
            </a:graphic>
          </wp:inline>
        </w:drawing>
      </w: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我们也可以通过Scirpy.pl.vdj_usage函数可视化每个克隆型或是具体几个克隆型具体的VDJ使用情况。</w:t>
      </w:r>
    </w:p>
    <w:p>
      <w:pPr>
        <w:numPr>
          <w:ilvl w:val="0"/>
          <w:numId w:val="0"/>
        </w:numPr>
        <w:ind w:leftChars="0"/>
        <w:jc w:val="left"/>
        <w:rPr>
          <w:sz w:val="22"/>
          <w:szCs w:val="22"/>
        </w:rPr>
      </w:pPr>
      <w:r>
        <w:rPr>
          <w:sz w:val="22"/>
          <w:szCs w:val="22"/>
        </w:rPr>
        <w:drawing>
          <wp:inline distT="0" distB="0" distL="114300" distR="114300">
            <wp:extent cx="5269230" cy="1263650"/>
            <wp:effectExtent l="0" t="0" r="139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7"/>
                    <a:stretch>
                      <a:fillRect/>
                    </a:stretch>
                  </pic:blipFill>
                  <pic:spPr>
                    <a:xfrm>
                      <a:off x="0" y="0"/>
                      <a:ext cx="5269230" cy="126365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3855720" cy="2271395"/>
            <wp:effectExtent l="0" t="0" r="508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8"/>
                    <a:stretch>
                      <a:fillRect/>
                    </a:stretch>
                  </pic:blipFill>
                  <pic:spPr>
                    <a:xfrm>
                      <a:off x="0" y="0"/>
                      <a:ext cx="3855720" cy="227139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3830955" cy="2154555"/>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9"/>
                    <a:stretch>
                      <a:fillRect/>
                    </a:stretch>
                  </pic:blipFill>
                  <pic:spPr>
                    <a:xfrm>
                      <a:off x="0" y="0"/>
                      <a:ext cx="3830955" cy="2154555"/>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同时，通过spectratype函数，我们可以可视化CDR3区域长度在不同细胞类型中的分布。通过柱状图可以看出具体的占比，而山峦图可以很好的展现CDR3区域长度的分布情况。</w:t>
      </w:r>
    </w:p>
    <w:p>
      <w:pPr>
        <w:numPr>
          <w:ilvl w:val="0"/>
          <w:numId w:val="0"/>
        </w:numPr>
        <w:ind w:leftChars="0"/>
        <w:jc w:val="left"/>
        <w:rPr>
          <w:sz w:val="22"/>
          <w:szCs w:val="22"/>
        </w:rPr>
      </w:pPr>
      <w:r>
        <w:rPr>
          <w:sz w:val="22"/>
          <w:szCs w:val="22"/>
        </w:rPr>
        <w:drawing>
          <wp:inline distT="0" distB="0" distL="114300" distR="114300">
            <wp:extent cx="5273040" cy="331470"/>
            <wp:effectExtent l="0" t="0" r="10160"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0"/>
                    <a:stretch>
                      <a:fillRect/>
                    </a:stretch>
                  </pic:blipFill>
                  <pic:spPr>
                    <a:xfrm>
                      <a:off x="0" y="0"/>
                      <a:ext cx="5273040" cy="33147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2760345" cy="1975485"/>
            <wp:effectExtent l="0" t="0" r="825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41"/>
                    <a:stretch>
                      <a:fillRect/>
                    </a:stretch>
                  </pic:blipFill>
                  <pic:spPr>
                    <a:xfrm>
                      <a:off x="0" y="0"/>
                      <a:ext cx="2760345" cy="1975485"/>
                    </a:xfrm>
                    <a:prstGeom prst="rect">
                      <a:avLst/>
                    </a:prstGeom>
                    <a:noFill/>
                    <a:ln>
                      <a:noFill/>
                    </a:ln>
                  </pic:spPr>
                </pic:pic>
              </a:graphicData>
            </a:graphic>
          </wp:inline>
        </w:drawing>
      </w:r>
      <w:r>
        <w:rPr>
          <w:sz w:val="22"/>
          <w:szCs w:val="22"/>
        </w:rPr>
        <w:drawing>
          <wp:inline distT="0" distB="0" distL="114300" distR="114300">
            <wp:extent cx="2346960" cy="2001520"/>
            <wp:effectExtent l="0" t="0" r="152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2"/>
                    <a:stretch>
                      <a:fillRect/>
                    </a:stretch>
                  </pic:blipFill>
                  <pic:spPr>
                    <a:xfrm>
                      <a:off x="0" y="0"/>
                      <a:ext cx="2346960" cy="2001520"/>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eastAsia"/>
          <w:b/>
          <w:bCs/>
          <w:sz w:val="22"/>
          <w:szCs w:val="22"/>
          <w:lang w:val="en-US" w:eastAsia="zh-CN"/>
        </w:rPr>
      </w:pPr>
      <w:r>
        <w:rPr>
          <w:rFonts w:hint="eastAsia"/>
          <w:b/>
          <w:bCs/>
          <w:sz w:val="24"/>
          <w:szCs w:val="24"/>
          <w:lang w:val="en-US" w:eastAsia="zh-CN"/>
        </w:rPr>
        <w:t>免疫组库对比</w:t>
      </w:r>
    </w:p>
    <w:p>
      <w:pPr>
        <w:numPr>
          <w:ilvl w:val="0"/>
          <w:numId w:val="0"/>
        </w:numPr>
        <w:ind w:leftChars="0"/>
        <w:jc w:val="left"/>
        <w:rPr>
          <w:rFonts w:hint="eastAsia"/>
          <w:b w:val="0"/>
          <w:bCs w:val="0"/>
          <w:sz w:val="22"/>
          <w:szCs w:val="22"/>
          <w:lang w:val="en-US" w:eastAsia="zh-CN"/>
        </w:rPr>
      </w:pPr>
      <w:r>
        <w:rPr>
          <w:rFonts w:hint="eastAsia"/>
          <w:b w:val="0"/>
          <w:bCs w:val="0"/>
          <w:sz w:val="22"/>
          <w:szCs w:val="22"/>
          <w:lang w:val="en-US" w:eastAsia="zh-CN"/>
        </w:rPr>
        <w:t>在免疫组库分析中，一些比较重要的克隆型往往不会只在一个细胞类型，或是一个样本当中出现。为了去发现那些在不同样本中都出现了的克隆型，去计算样本间免疫组库的相似性就是必要的。这里，Scirpy中提供了repertoire_overlap函数去计算不同克隆型在不同样本中的丰度。运行结束后，我们会得到一个样本乘克隆型的矩阵，矩阵内部的数值则代表每个克隆型在各个样本中出现的数量。同时，还会产生一个样本间通过Jaccard 相似性计算出来的间距矩阵（Distance Matrix）。我们可以通过热图的形式可视化间距矩阵来看出哪些样本之间的相似度较高。</w:t>
      </w:r>
    </w:p>
    <w:p>
      <w:pPr>
        <w:numPr>
          <w:ilvl w:val="0"/>
          <w:numId w:val="0"/>
        </w:numPr>
        <w:ind w:leftChars="0"/>
        <w:jc w:val="left"/>
        <w:rPr>
          <w:sz w:val="22"/>
          <w:szCs w:val="22"/>
        </w:rPr>
      </w:pPr>
      <w:r>
        <w:rPr>
          <w:sz w:val="22"/>
          <w:szCs w:val="22"/>
        </w:rPr>
        <w:drawing>
          <wp:inline distT="0" distB="0" distL="114300" distR="114300">
            <wp:extent cx="5273675" cy="1553210"/>
            <wp:effectExtent l="0" t="0" r="9525"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3"/>
                    <a:stretch>
                      <a:fillRect/>
                    </a:stretch>
                  </pic:blipFill>
                  <pic:spPr>
                    <a:xfrm>
                      <a:off x="0" y="0"/>
                      <a:ext cx="5273675" cy="1553210"/>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sz w:val="22"/>
          <w:szCs w:val="22"/>
        </w:rPr>
      </w:pPr>
      <w:r>
        <w:rPr>
          <w:sz w:val="22"/>
          <w:szCs w:val="22"/>
        </w:rPr>
        <w:drawing>
          <wp:inline distT="0" distB="0" distL="114300" distR="114300">
            <wp:extent cx="5270500" cy="721360"/>
            <wp:effectExtent l="0" t="0" r="1270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4"/>
                    <a:stretch>
                      <a:fillRect/>
                    </a:stretch>
                  </pic:blipFill>
                  <pic:spPr>
                    <a:xfrm>
                      <a:off x="0" y="0"/>
                      <a:ext cx="5270500" cy="72136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4502785" cy="3859530"/>
            <wp:effectExtent l="0" t="0" r="1841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5"/>
                    <a:stretch>
                      <a:fillRect/>
                    </a:stretch>
                  </pic:blipFill>
                  <pic:spPr>
                    <a:xfrm>
                      <a:off x="0" y="0"/>
                      <a:ext cx="4502785" cy="3859530"/>
                    </a:xfrm>
                    <a:prstGeom prst="rect">
                      <a:avLst/>
                    </a:prstGeom>
                    <a:noFill/>
                    <a:ln>
                      <a:noFill/>
                    </a:ln>
                  </pic:spPr>
                </pic:pic>
              </a:graphicData>
            </a:graphic>
          </wp:inline>
        </w:drawing>
      </w: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通过热图找到相似度较高的一组样本后，我们还可以单独比较两个样本间重叠克隆型的数量。</w:t>
      </w:r>
    </w:p>
    <w:p>
      <w:pPr>
        <w:numPr>
          <w:ilvl w:val="0"/>
          <w:numId w:val="0"/>
        </w:numPr>
        <w:ind w:leftChars="0"/>
        <w:jc w:val="left"/>
        <w:rPr>
          <w:sz w:val="22"/>
          <w:szCs w:val="22"/>
        </w:rPr>
      </w:pPr>
      <w:r>
        <w:rPr>
          <w:sz w:val="22"/>
          <w:szCs w:val="22"/>
        </w:rPr>
        <w:drawing>
          <wp:inline distT="0" distB="0" distL="114300" distR="114300">
            <wp:extent cx="5273040" cy="3249295"/>
            <wp:effectExtent l="0" t="0" r="1016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6"/>
                    <a:stretch>
                      <a:fillRect/>
                    </a:stretch>
                  </pic:blipFill>
                  <pic:spPr>
                    <a:xfrm>
                      <a:off x="0" y="0"/>
                      <a:ext cx="5273040" cy="3249295"/>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sz w:val="22"/>
          <w:szCs w:val="22"/>
        </w:rPr>
      </w:pPr>
    </w:p>
    <w:p>
      <w:pPr>
        <w:numPr>
          <w:ilvl w:val="0"/>
          <w:numId w:val="0"/>
        </w:numPr>
        <w:ind w:leftChars="0"/>
        <w:jc w:val="left"/>
        <w:rPr>
          <w:rFonts w:hint="eastAsia"/>
          <w:b/>
          <w:bCs/>
          <w:sz w:val="22"/>
          <w:szCs w:val="22"/>
          <w:lang w:val="en-US" w:eastAsia="zh-CN"/>
        </w:rPr>
      </w:pPr>
    </w:p>
    <w:p>
      <w:pPr>
        <w:numPr>
          <w:ilvl w:val="0"/>
          <w:numId w:val="0"/>
        </w:numPr>
        <w:ind w:leftChars="0"/>
        <w:jc w:val="left"/>
        <w:rPr>
          <w:rFonts w:hint="eastAsia"/>
          <w:b/>
          <w:bCs/>
          <w:sz w:val="24"/>
          <w:szCs w:val="24"/>
          <w:lang w:val="en-US" w:eastAsia="zh-CN"/>
        </w:rPr>
      </w:pPr>
      <w:r>
        <w:rPr>
          <w:rFonts w:hint="eastAsia"/>
          <w:b/>
          <w:bCs/>
          <w:sz w:val="24"/>
          <w:szCs w:val="24"/>
          <w:lang w:val="en-US" w:eastAsia="zh-CN"/>
        </w:rPr>
        <w:t>整合基因表达数据</w:t>
      </w:r>
    </w:p>
    <w:p>
      <w:pPr>
        <w:numPr>
          <w:ilvl w:val="0"/>
          <w:numId w:val="0"/>
        </w:numPr>
        <w:ind w:leftChars="0"/>
        <w:jc w:val="left"/>
        <w:rPr>
          <w:rFonts w:hint="eastAsia"/>
          <w:b w:val="0"/>
          <w:bCs w:val="0"/>
          <w:sz w:val="22"/>
          <w:szCs w:val="22"/>
          <w:lang w:val="en-US" w:eastAsia="zh-CN"/>
        </w:rPr>
      </w:pPr>
      <w:r>
        <w:rPr>
          <w:rFonts w:hint="eastAsia"/>
          <w:b w:val="0"/>
          <w:bCs w:val="0"/>
          <w:sz w:val="22"/>
          <w:szCs w:val="22"/>
          <w:lang w:val="en-US" w:eastAsia="zh-CN"/>
        </w:rPr>
        <w:t>由于Scirpy软件在设计上与Scanpy有非常好的结合度，我们可以很轻松的将免疫组库的数据与转录组的数据合并联合分析。首先，我们可以通过检查同一克隆型当中的细胞是否有非常相似的基因表达模式，从中我们可以得到每个克隆型的模块化指标。这个指标是通过计算一个克隆型中的细胞在细胞领域图中拥有的边（edge）的数量和完全随机的领域图中那些细胞拥有的边的数量的比值获得的。计算出的克隆型模块化分数可以通过UMAP图展示。</w:t>
      </w:r>
    </w:p>
    <w:p>
      <w:pPr>
        <w:numPr>
          <w:ilvl w:val="0"/>
          <w:numId w:val="0"/>
        </w:numPr>
        <w:ind w:leftChars="0"/>
        <w:jc w:val="left"/>
        <w:rPr>
          <w:sz w:val="22"/>
          <w:szCs w:val="22"/>
        </w:rPr>
      </w:pPr>
      <w:r>
        <w:rPr>
          <w:sz w:val="22"/>
          <w:szCs w:val="22"/>
        </w:rPr>
        <w:drawing>
          <wp:inline distT="0" distB="0" distL="114300" distR="114300">
            <wp:extent cx="5268595" cy="1831340"/>
            <wp:effectExtent l="0" t="0" r="14605"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7"/>
                    <a:stretch>
                      <a:fillRect/>
                    </a:stretch>
                  </pic:blipFill>
                  <pic:spPr>
                    <a:xfrm>
                      <a:off x="0" y="0"/>
                      <a:ext cx="5268595" cy="1831340"/>
                    </a:xfrm>
                    <a:prstGeom prst="rect">
                      <a:avLst/>
                    </a:prstGeom>
                    <a:noFill/>
                    <a:ln>
                      <a:noFill/>
                    </a:ln>
                  </pic:spPr>
                </pic:pic>
              </a:graphicData>
            </a:graphic>
          </wp:inline>
        </w:drawing>
      </w:r>
    </w:p>
    <w:p>
      <w:pPr>
        <w:numPr>
          <w:ilvl w:val="0"/>
          <w:numId w:val="0"/>
        </w:numPr>
        <w:ind w:leftChars="0"/>
        <w:jc w:val="left"/>
        <w:rPr>
          <w:rFonts w:hint="default"/>
          <w:sz w:val="22"/>
          <w:szCs w:val="22"/>
          <w:lang w:val="en-US" w:eastAsia="zh-CN"/>
        </w:rPr>
      </w:pPr>
      <w:r>
        <w:rPr>
          <w:sz w:val="22"/>
          <w:szCs w:val="22"/>
        </w:rPr>
        <w:drawing>
          <wp:inline distT="0" distB="0" distL="114300" distR="114300">
            <wp:extent cx="2362200" cy="2200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8"/>
                    <a:stretch>
                      <a:fillRect/>
                    </a:stretch>
                  </pic:blipFill>
                  <pic:spPr>
                    <a:xfrm>
                      <a:off x="0" y="0"/>
                      <a:ext cx="2362200" cy="2200275"/>
                    </a:xfrm>
                    <a:prstGeom prst="rect">
                      <a:avLst/>
                    </a:prstGeom>
                    <a:noFill/>
                    <a:ln>
                      <a:noFill/>
                    </a:ln>
                  </pic:spPr>
                </pic:pic>
              </a:graphicData>
            </a:graphic>
          </wp:inline>
        </w:drawing>
      </w:r>
      <w:r>
        <w:rPr>
          <w:sz w:val="22"/>
          <w:szCs w:val="22"/>
        </w:rPr>
        <w:drawing>
          <wp:inline distT="0" distB="0" distL="114300" distR="114300">
            <wp:extent cx="2837180" cy="2104390"/>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9"/>
                    <a:stretch>
                      <a:fillRect/>
                    </a:stretch>
                  </pic:blipFill>
                  <pic:spPr>
                    <a:xfrm>
                      <a:off x="0" y="0"/>
                      <a:ext cx="2837180" cy="2104390"/>
                    </a:xfrm>
                    <a:prstGeom prst="rect">
                      <a:avLst/>
                    </a:prstGeom>
                    <a:noFill/>
                    <a:ln>
                      <a:noFill/>
                    </a:ln>
                  </pic:spPr>
                </pic:pic>
              </a:graphicData>
            </a:graphic>
          </wp:inline>
        </w:drawing>
      </w:r>
    </w:p>
    <w:p>
      <w:pPr>
        <w:numPr>
          <w:ilvl w:val="0"/>
          <w:numId w:val="0"/>
        </w:numPr>
        <w:ind w:leftChars="0"/>
        <w:jc w:val="left"/>
        <w:rPr>
          <w:rFonts w:hint="default"/>
          <w:b/>
          <w:bCs/>
          <w:sz w:val="22"/>
          <w:szCs w:val="22"/>
          <w:lang w:val="en-US" w:eastAsia="zh-CN"/>
        </w:rPr>
      </w:pPr>
      <w:r>
        <w:rPr>
          <w:rFonts w:hint="eastAsia"/>
          <w:b w:val="0"/>
          <w:bCs w:val="0"/>
          <w:sz w:val="22"/>
          <w:szCs w:val="22"/>
          <w:lang w:val="en-US" w:eastAsia="zh-CN"/>
        </w:rPr>
        <w:t>随后，我们可以通过火山图看到有几个克隆型拥有远高于别的克隆型的模块化分数。我们可以将它们挑出来单独展示在UMAP图，看他们分别富集在哪些位置。</w:t>
      </w:r>
    </w:p>
    <w:p>
      <w:pPr>
        <w:numPr>
          <w:ilvl w:val="0"/>
          <w:numId w:val="0"/>
        </w:numPr>
        <w:ind w:leftChars="0"/>
        <w:jc w:val="left"/>
        <w:rPr>
          <w:sz w:val="22"/>
          <w:szCs w:val="22"/>
        </w:rPr>
      </w:pPr>
      <w:r>
        <w:rPr>
          <w:sz w:val="22"/>
          <w:szCs w:val="22"/>
        </w:rPr>
        <w:drawing>
          <wp:inline distT="0" distB="0" distL="114300" distR="114300">
            <wp:extent cx="5273040" cy="1518285"/>
            <wp:effectExtent l="0" t="0" r="1016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50"/>
                    <a:stretch>
                      <a:fillRect/>
                    </a:stretch>
                  </pic:blipFill>
                  <pic:spPr>
                    <a:xfrm>
                      <a:off x="0" y="0"/>
                      <a:ext cx="5273040" cy="151828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4187190" cy="215519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51"/>
                    <a:stretch>
                      <a:fillRect/>
                    </a:stretch>
                  </pic:blipFill>
                  <pic:spPr>
                    <a:xfrm>
                      <a:off x="0" y="0"/>
                      <a:ext cx="4187190" cy="2155190"/>
                    </a:xfrm>
                    <a:prstGeom prst="rect">
                      <a:avLst/>
                    </a:prstGeom>
                    <a:noFill/>
                    <a:ln>
                      <a:noFill/>
                    </a:ln>
                  </pic:spPr>
                </pic:pic>
              </a:graphicData>
            </a:graphic>
          </wp:inline>
        </w:drawing>
      </w:r>
      <w:r>
        <w:rPr>
          <w:sz w:val="22"/>
          <w:szCs w:val="22"/>
        </w:rPr>
        <w:drawing>
          <wp:inline distT="0" distB="0" distL="114300" distR="114300">
            <wp:extent cx="3749675" cy="3182620"/>
            <wp:effectExtent l="0" t="0" r="9525"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2"/>
                    <a:stretch>
                      <a:fillRect/>
                    </a:stretch>
                  </pic:blipFill>
                  <pic:spPr>
                    <a:xfrm>
                      <a:off x="0" y="0"/>
                      <a:ext cx="3749675" cy="3182620"/>
                    </a:xfrm>
                    <a:prstGeom prst="rect">
                      <a:avLst/>
                    </a:prstGeom>
                    <a:noFill/>
                    <a:ln>
                      <a:noFill/>
                    </a:ln>
                  </pic:spPr>
                </pic:pic>
              </a:graphicData>
            </a:graphic>
          </wp:inline>
        </w:drawing>
      </w: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接着，我们可以像计算差异基因一样，计算每个克隆型和其余克隆型之间的差异化表达的基因。这里，我们选取了模块化分数最高的四个克隆型159，101，68，146。</w:t>
      </w:r>
    </w:p>
    <w:p>
      <w:pPr>
        <w:numPr>
          <w:ilvl w:val="0"/>
          <w:numId w:val="0"/>
        </w:numPr>
        <w:ind w:leftChars="0"/>
        <w:jc w:val="left"/>
        <w:rPr>
          <w:sz w:val="22"/>
          <w:szCs w:val="22"/>
        </w:rPr>
      </w:pPr>
      <w:r>
        <w:rPr>
          <w:sz w:val="22"/>
          <w:szCs w:val="22"/>
        </w:rPr>
        <w:drawing>
          <wp:inline distT="0" distB="0" distL="114300" distR="114300">
            <wp:extent cx="5274310" cy="1633855"/>
            <wp:effectExtent l="0" t="0" r="8890"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3"/>
                    <a:stretch>
                      <a:fillRect/>
                    </a:stretch>
                  </pic:blipFill>
                  <pic:spPr>
                    <a:xfrm>
                      <a:off x="0" y="0"/>
                      <a:ext cx="5274310" cy="163385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3804920" cy="4962525"/>
            <wp:effectExtent l="0" t="0" r="5080" b="15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4"/>
                    <a:stretch>
                      <a:fillRect/>
                    </a:stretch>
                  </pic:blipFill>
                  <pic:spPr>
                    <a:xfrm>
                      <a:off x="0" y="0"/>
                      <a:ext cx="3804920" cy="4962525"/>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rFonts w:hint="eastAsia"/>
          <w:sz w:val="22"/>
          <w:szCs w:val="22"/>
          <w:lang w:val="en-US" w:eastAsia="zh-CN"/>
        </w:rPr>
      </w:pPr>
      <w:r>
        <w:rPr>
          <w:rFonts w:hint="eastAsia"/>
          <w:sz w:val="22"/>
          <w:szCs w:val="22"/>
          <w:lang w:val="en-US" w:eastAsia="zh-CN"/>
        </w:rPr>
        <w:t>在之前的UMAP图中，我们可以看出来，一些克隆型中富集的细胞是具有一定的细胞类型特异性的。为了更准确的探究这些top克隆型是否有着细胞类型特异性，我们可以用clonotype_imbalance函数来计算两种细胞类型之间存在丰度差异的克隆型是哪些。这里，我们使用CD8+ tissue-resident memory T cells和CD8+ effector and effector memory cells作为对比的两种细胞类型。</w:t>
      </w:r>
    </w:p>
    <w:p>
      <w:pPr>
        <w:numPr>
          <w:ilvl w:val="0"/>
          <w:numId w:val="0"/>
        </w:numPr>
        <w:ind w:leftChars="0"/>
        <w:jc w:val="left"/>
        <w:rPr>
          <w:sz w:val="22"/>
          <w:szCs w:val="22"/>
        </w:rPr>
      </w:pPr>
      <w:r>
        <w:rPr>
          <w:sz w:val="22"/>
          <w:szCs w:val="22"/>
        </w:rPr>
        <w:drawing>
          <wp:inline distT="0" distB="0" distL="114300" distR="114300">
            <wp:extent cx="5272405" cy="910590"/>
            <wp:effectExtent l="0" t="0" r="1079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55"/>
                    <a:stretch>
                      <a:fillRect/>
                    </a:stretch>
                  </pic:blipFill>
                  <pic:spPr>
                    <a:xfrm>
                      <a:off x="0" y="0"/>
                      <a:ext cx="5272405" cy="91059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5267325" cy="1453515"/>
            <wp:effectExtent l="0" t="0" r="15875" b="196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6"/>
                    <a:stretch>
                      <a:fillRect/>
                    </a:stretch>
                  </pic:blipFill>
                  <pic:spPr>
                    <a:xfrm>
                      <a:off x="0" y="0"/>
                      <a:ext cx="5267325" cy="1453515"/>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5271770" cy="1616075"/>
            <wp:effectExtent l="0" t="0" r="1143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7"/>
                    <a:stretch>
                      <a:fillRect/>
                    </a:stretch>
                  </pic:blipFill>
                  <pic:spPr>
                    <a:xfrm>
                      <a:off x="0" y="0"/>
                      <a:ext cx="5271770" cy="1616075"/>
                    </a:xfrm>
                    <a:prstGeom prst="rect">
                      <a:avLst/>
                    </a:prstGeom>
                    <a:noFill/>
                    <a:ln>
                      <a:noFill/>
                    </a:ln>
                  </pic:spPr>
                </pic:pic>
              </a:graphicData>
            </a:graphic>
          </wp:inline>
        </w:drawing>
      </w:r>
    </w:p>
    <w:p>
      <w:pPr>
        <w:numPr>
          <w:ilvl w:val="0"/>
          <w:numId w:val="0"/>
        </w:numPr>
        <w:ind w:leftChars="0"/>
        <w:jc w:val="left"/>
        <w:rPr>
          <w:rFonts w:hint="default" w:eastAsia="华文仿宋"/>
          <w:sz w:val="22"/>
          <w:szCs w:val="22"/>
          <w:lang w:val="en-US" w:eastAsia="zh-CN"/>
        </w:rPr>
      </w:pPr>
      <w:r>
        <w:rPr>
          <w:rFonts w:hint="eastAsia"/>
          <w:sz w:val="22"/>
          <w:szCs w:val="22"/>
          <w:lang w:val="en-US" w:eastAsia="zh-CN"/>
        </w:rPr>
        <w:t>从图中我们可以看出来，克隆型101和161分别富集在CD8+ tissue-resident memory T cells和CD8+ effector and effector memory cells这两种细胞类型中。因此我们可以去计算这两个克隆型中细胞之间差异表达的基因作为这两种克隆型的标记基因。</w:t>
      </w:r>
    </w:p>
    <w:p>
      <w:pPr>
        <w:numPr>
          <w:ilvl w:val="0"/>
          <w:numId w:val="0"/>
        </w:numPr>
        <w:ind w:leftChars="0"/>
        <w:jc w:val="left"/>
        <w:rPr>
          <w:sz w:val="22"/>
          <w:szCs w:val="22"/>
        </w:rPr>
      </w:pPr>
      <w:r>
        <w:rPr>
          <w:sz w:val="22"/>
          <w:szCs w:val="22"/>
        </w:rPr>
        <w:drawing>
          <wp:inline distT="0" distB="0" distL="114300" distR="114300">
            <wp:extent cx="5267325" cy="447040"/>
            <wp:effectExtent l="0" t="0" r="1587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8"/>
                    <a:stretch>
                      <a:fillRect/>
                    </a:stretch>
                  </pic:blipFill>
                  <pic:spPr>
                    <a:xfrm>
                      <a:off x="0" y="0"/>
                      <a:ext cx="5267325" cy="447040"/>
                    </a:xfrm>
                    <a:prstGeom prst="rect">
                      <a:avLst/>
                    </a:prstGeom>
                    <a:noFill/>
                    <a:ln>
                      <a:noFill/>
                    </a:ln>
                  </pic:spPr>
                </pic:pic>
              </a:graphicData>
            </a:graphic>
          </wp:inline>
        </w:drawing>
      </w:r>
    </w:p>
    <w:p>
      <w:pPr>
        <w:numPr>
          <w:ilvl w:val="0"/>
          <w:numId w:val="0"/>
        </w:numPr>
        <w:ind w:leftChars="0"/>
        <w:jc w:val="left"/>
        <w:rPr>
          <w:sz w:val="22"/>
          <w:szCs w:val="22"/>
        </w:rPr>
      </w:pPr>
      <w:r>
        <w:rPr>
          <w:sz w:val="22"/>
          <w:szCs w:val="22"/>
        </w:rPr>
        <w:drawing>
          <wp:inline distT="0" distB="0" distL="114300" distR="114300">
            <wp:extent cx="2582545" cy="2478405"/>
            <wp:effectExtent l="0" t="0" r="8255"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9"/>
                    <a:stretch>
                      <a:fillRect/>
                    </a:stretch>
                  </pic:blipFill>
                  <pic:spPr>
                    <a:xfrm>
                      <a:off x="0" y="0"/>
                      <a:ext cx="2582545" cy="2478405"/>
                    </a:xfrm>
                    <a:prstGeom prst="rect">
                      <a:avLst/>
                    </a:prstGeom>
                    <a:noFill/>
                    <a:ln>
                      <a:noFill/>
                    </a:ln>
                  </pic:spPr>
                </pic:pic>
              </a:graphicData>
            </a:graphic>
          </wp:inline>
        </w:drawing>
      </w:r>
    </w:p>
    <w:p>
      <w:pPr>
        <w:numPr>
          <w:ilvl w:val="0"/>
          <w:numId w:val="0"/>
        </w:numPr>
        <w:ind w:leftChars="0"/>
        <w:jc w:val="left"/>
        <w:rPr>
          <w:rFonts w:hint="eastAsia"/>
          <w:b/>
          <w:bCs/>
          <w:sz w:val="22"/>
          <w:szCs w:val="22"/>
          <w:lang w:val="en-US" w:eastAsia="zh-CN"/>
        </w:rPr>
      </w:pPr>
    </w:p>
    <w:p>
      <w:pPr>
        <w:numPr>
          <w:ilvl w:val="0"/>
          <w:numId w:val="0"/>
        </w:numPr>
        <w:ind w:leftChars="0"/>
        <w:jc w:val="left"/>
        <w:rPr>
          <w:rFonts w:hint="default" w:eastAsia="华文仿宋"/>
          <w:b/>
          <w:bCs/>
          <w:sz w:val="24"/>
          <w:szCs w:val="24"/>
          <w:lang w:val="en-US" w:eastAsia="zh-CN"/>
        </w:rPr>
      </w:pPr>
      <w:r>
        <w:rPr>
          <w:rFonts w:hint="eastAsia"/>
          <w:b/>
          <w:bCs/>
          <w:sz w:val="24"/>
          <w:szCs w:val="24"/>
          <w:lang w:val="en-US" w:eastAsia="zh-CN"/>
        </w:rPr>
        <w:t>使用表位数据库进行免疫受体功能注释</w:t>
      </w:r>
    </w:p>
    <w:p>
      <w:pPr>
        <w:numPr>
          <w:ilvl w:val="0"/>
          <w:numId w:val="0"/>
        </w:numPr>
        <w:ind w:leftChars="0"/>
        <w:jc w:val="left"/>
        <w:rPr>
          <w:rFonts w:hint="eastAsia"/>
          <w:sz w:val="22"/>
          <w:szCs w:val="22"/>
          <w:lang w:val="en-US" w:eastAsia="zh-CN"/>
        </w:rPr>
      </w:pPr>
      <w:r>
        <w:rPr>
          <w:rFonts w:hint="eastAsia"/>
          <w:sz w:val="22"/>
          <w:szCs w:val="22"/>
          <w:lang w:val="en-US" w:eastAsia="zh-CN"/>
        </w:rPr>
        <w:t>Scirpy中还有一项重要的功能就是可以通过内部的表位数据库对我们数据中包含的免疫受体进行功能的注释，使我们可以知道该受体是否特异性对应某一种抗原。</w:t>
      </w:r>
    </w:p>
    <w:p>
      <w:pPr>
        <w:numPr>
          <w:ilvl w:val="0"/>
          <w:numId w:val="0"/>
        </w:numPr>
        <w:ind w:leftChars="0"/>
        <w:jc w:val="left"/>
        <w:rPr>
          <w:sz w:val="22"/>
          <w:szCs w:val="22"/>
        </w:rPr>
      </w:pPr>
      <w:r>
        <w:rPr>
          <w:sz w:val="22"/>
          <w:szCs w:val="22"/>
        </w:rPr>
        <w:drawing>
          <wp:inline distT="0" distB="0" distL="114300" distR="114300">
            <wp:extent cx="5273040" cy="1811020"/>
            <wp:effectExtent l="0" t="0" r="10160"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0"/>
                    <a:stretch>
                      <a:fillRect/>
                    </a:stretch>
                  </pic:blipFill>
                  <pic:spPr>
                    <a:xfrm>
                      <a:off x="0" y="0"/>
                      <a:ext cx="5273040" cy="1811020"/>
                    </a:xfrm>
                    <a:prstGeom prst="rect">
                      <a:avLst/>
                    </a:prstGeom>
                    <a:noFill/>
                    <a:ln>
                      <a:noFill/>
                    </a:ln>
                  </pic:spPr>
                </pic:pic>
              </a:graphicData>
            </a:graphic>
          </wp:inline>
        </w:drawing>
      </w:r>
    </w:p>
    <w:p>
      <w:pPr>
        <w:numPr>
          <w:ilvl w:val="0"/>
          <w:numId w:val="0"/>
        </w:numPr>
        <w:ind w:leftChars="0"/>
        <w:jc w:val="left"/>
        <w:rPr>
          <w:rFonts w:hint="default"/>
          <w:lang w:val="en-US" w:eastAsia="zh-CN"/>
        </w:rPr>
      </w:pPr>
      <w:r>
        <w:rPr>
          <w:sz w:val="22"/>
          <w:szCs w:val="22"/>
        </w:rPr>
        <w:drawing>
          <wp:inline distT="0" distB="0" distL="114300" distR="114300">
            <wp:extent cx="3371850" cy="2200275"/>
            <wp:effectExtent l="0" t="0" r="635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61"/>
                    <a:stretch>
                      <a:fillRect/>
                    </a:stretch>
                  </pic:blipFill>
                  <pic:spPr>
                    <a:xfrm>
                      <a:off x="0" y="0"/>
                      <a:ext cx="3371850" cy="2200275"/>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iaye Chen" w:date="2023-12-29T15:14:40Z" w:initials="">
    <w:p w14:paraId="0DDC5F49">
      <w:pPr>
        <w:pStyle w:val="3"/>
        <w:rPr>
          <w:rFonts w:hint="default"/>
        </w:rPr>
      </w:pPr>
      <w:r>
        <w:rPr>
          <w:rFonts w:hint="default"/>
        </w:rPr>
        <w:fldChar w:fldCharType="begin"/>
      </w:r>
      <w:r>
        <w:rPr>
          <w:rFonts w:hint="default"/>
        </w:rPr>
        <w:instrText xml:space="preserve"> HYPERLINK "https://scirpy.scverse.org/en/latest/tutorials/tutorial_3k_tcr.html#" </w:instrText>
      </w:r>
      <w:r>
        <w:rPr>
          <w:rFonts w:hint="default"/>
        </w:rPr>
        <w:fldChar w:fldCharType="separate"/>
      </w:r>
      <w:r>
        <w:rPr>
          <w:rStyle w:val="8"/>
          <w:rFonts w:hint="default"/>
        </w:rPr>
        <w:t>https://scirpy.scverse.org/en/latest/tutorials/tutorial_3k_tcr.html#</w:t>
      </w:r>
      <w:r>
        <w:rPr>
          <w:rFonts w:hint="default"/>
        </w:rPr>
        <w:fldChar w:fldCharType="end"/>
      </w:r>
    </w:p>
    <w:p w14:paraId="314F4CAD">
      <w:pPr>
        <w:pStyle w:val="3"/>
        <w:rPr>
          <w:rFonts w:hint="default"/>
        </w:rPr>
      </w:pPr>
      <w:r>
        <w:rPr>
          <w:rFonts w:hint="default"/>
        </w:rPr>
        <w:t>Gregor Sturm, Tamas Szabo, Georgios Fotakis, Marlene Haider, Dietmar Rieder, Zlatko Trajanoski, Francesca Finotello</w:t>
      </w:r>
      <w:r>
        <w:rPr>
          <w:rFonts w:hint="eastAsia"/>
          <w:lang w:val="en-US" w:eastAsia="zh-CN"/>
        </w:rPr>
        <w:t xml:space="preserve">. </w:t>
      </w:r>
      <w:r>
        <w:rPr>
          <w:rFonts w:hint="default"/>
        </w:rPr>
        <w:t>Bioinformatics 2020 Sep 15. doi:10.1093/bioinformatics/btaa611.</w:t>
      </w:r>
    </w:p>
  </w:comment>
  <w:comment w:id="1" w:author="Jiaye Chen" w:date="2023-12-28T14:11:30Z" w:initials="">
    <w:p w14:paraId="4DF25E14">
      <w:pPr>
        <w:pStyle w:val="3"/>
      </w:pPr>
      <w:r>
        <w:rPr>
          <w:rFonts w:hint="default"/>
        </w:rPr>
        <w:t>Wu, T.D., Madireddi, S., de Almeida, P.E. et al. Peripheral T cell expansion predicts tumour infiltration and clinical response. Nature 579, 274–278 (2020). https://doi.org/10.1038/s41586-020-2056-8</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14F4CAD" w15:done="0"/>
  <w15:commentEx w15:paraId="4DF25E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iaye Chen">
    <w15:presenceInfo w15:providerId="WPS Office" w15:userId="3494818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iMTQ3YmEzZGQwYzY4YTRiMWI5ODk2MmRiNDg2ZjUifQ=="/>
  </w:docVars>
  <w:rsids>
    <w:rsidRoot w:val="76FF5AB1"/>
    <w:rsid w:val="173C12F8"/>
    <w:rsid w:val="273D43FB"/>
    <w:rsid w:val="2F1F55C5"/>
    <w:rsid w:val="5F39CDD1"/>
    <w:rsid w:val="76FF5AB1"/>
    <w:rsid w:val="7BFF8573"/>
    <w:rsid w:val="7FBF3C88"/>
    <w:rsid w:val="7FDB2330"/>
    <w:rsid w:val="BC5F84F3"/>
    <w:rsid w:val="BE37F93B"/>
    <w:rsid w:val="C9EF5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华文仿宋" w:hAnsi="华文仿宋" w:eastAsia="华文仿宋" w:cs="华文仿宋"/>
      <w:color w:val="121212"/>
      <w:sz w:val="24"/>
      <w:szCs w:val="24"/>
      <w:highlight w:val="white"/>
      <w:lang w:val="zh-CN" w:eastAsia="zh-CN" w:bidi="ar-SA"/>
    </w:rPr>
  </w:style>
  <w:style w:type="paragraph" w:styleId="2">
    <w:name w:val="heading 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annotation text"/>
    <w:basedOn w:val="1"/>
    <w:uiPriority w:val="0"/>
    <w:pPr>
      <w:jc w:val="left"/>
    </w:pPr>
  </w:style>
  <w:style w:type="paragraph" w:styleId="4">
    <w:name w:val="Normal (Web)"/>
    <w:uiPriority w:val="0"/>
    <w:pPr>
      <w:spacing w:before="0" w:beforeAutospacing="1" w:after="0" w:afterAutospacing="1"/>
      <w:ind w:left="0" w:right="0"/>
      <w:jc w:val="left"/>
    </w:pPr>
    <w:rPr>
      <w:rFonts w:ascii="Times New Roman" w:hAnsi="Times New Roman" w:eastAsia="宋体" w:cs="Times New Roman"/>
      <w:kern w:val="0"/>
      <w:sz w:val="24"/>
      <w:szCs w:val="24"/>
      <w:lang w:val="en-US" w:eastAsia="zh-CN" w:bidi="ar"/>
    </w:rPr>
  </w:style>
  <w:style w:type="character" w:styleId="7">
    <w:name w:val="Emphasis"/>
    <w:basedOn w:val="6"/>
    <w:qFormat/>
    <w:uiPriority w:val="0"/>
    <w:rPr>
      <w:i/>
      <w:iCs/>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3" Type="http://schemas.microsoft.com/office/2011/relationships/people" Target="people.xml"/><Relationship Id="rId62" Type="http://schemas.openxmlformats.org/officeDocument/2006/relationships/fontTable" Target="fontTable.xml"/><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endnotes" Target="endnotes.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notes" Target="footnotes.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microsoft.com/office/2011/relationships/commentsExtended" Target="commentsExtended.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comments" Target="comment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927</TotalTime>
  <ScaleCrop>false</ScaleCrop>
  <LinksUpToDate>false</LinksUpToDate>
  <CharactersWithSpaces>0</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2023-12-28T13:50:00Z</dcterms:created>
  <dc:creator>Jiaye Chen</dc:creator>
  <cp:lastModifiedBy>樊龙江</cp:lastModifiedBy>
  <dcterms:modified xsi:type="dcterms:W3CDTF">2023-12-30T00:38:02Z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9840BDA0BD3F4DA1BE7FDD6E0027568C_12</vt:lpwstr>
  </property>
</Properties>
</file>